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410B71" w:rsidRDefault="0084753C" w:rsidP="0084753C">
      <w:pPr>
        <w:rPr>
          <w:rStyle w:val="Parahead"/>
          <w:spacing w:val="-2"/>
          <w:szCs w:val="24"/>
        </w:rPr>
      </w:pPr>
      <w:r w:rsidRPr="00410B71">
        <w:rPr>
          <w:rStyle w:val="Parahead"/>
          <w:spacing w:val="-2"/>
          <w:szCs w:val="24"/>
        </w:rPr>
        <w:t xml:space="preserve">Dosya </w:t>
      </w:r>
      <w:proofErr w:type="gramStart"/>
      <w:r w:rsidRPr="00410B71">
        <w:rPr>
          <w:rStyle w:val="Parahead"/>
          <w:spacing w:val="-2"/>
          <w:szCs w:val="24"/>
        </w:rPr>
        <w:t>No : 20</w:t>
      </w:r>
      <w:r w:rsidR="001E4EAF">
        <w:rPr>
          <w:rStyle w:val="Parahead"/>
          <w:spacing w:val="-2"/>
          <w:szCs w:val="24"/>
        </w:rPr>
        <w:t>2</w:t>
      </w:r>
      <w:r w:rsidR="00E14166">
        <w:rPr>
          <w:rStyle w:val="Parahead"/>
          <w:spacing w:val="-2"/>
          <w:szCs w:val="24"/>
        </w:rPr>
        <w:t>2</w:t>
      </w:r>
      <w:proofErr w:type="gramEnd"/>
      <w:r w:rsidR="00D319E6">
        <w:rPr>
          <w:rStyle w:val="Parahead"/>
          <w:spacing w:val="-2"/>
          <w:szCs w:val="24"/>
        </w:rPr>
        <w:t>/40</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D319E6" w:rsidP="0084753C">
      <w:pPr>
        <w:pStyle w:val="GvdeMetni21"/>
        <w:ind w:firstLine="0"/>
        <w:rPr>
          <w:rFonts w:ascii="Times New Roman" w:hAnsi="Times New Roman"/>
          <w:szCs w:val="24"/>
        </w:rPr>
      </w:pPr>
      <w:r>
        <w:rPr>
          <w:rFonts w:ascii="Times New Roman" w:hAnsi="Times New Roman"/>
          <w:color w:val="000000"/>
          <w:spacing w:val="6"/>
          <w:szCs w:val="24"/>
        </w:rPr>
        <w:t>08</w:t>
      </w:r>
      <w:r w:rsidR="00521112">
        <w:rPr>
          <w:rFonts w:ascii="Times New Roman" w:hAnsi="Times New Roman"/>
          <w:color w:val="000000"/>
          <w:spacing w:val="6"/>
          <w:szCs w:val="24"/>
        </w:rPr>
        <w:t>/08</w:t>
      </w:r>
      <w:r w:rsidR="00D66B7E">
        <w:rPr>
          <w:rFonts w:ascii="Times New Roman" w:hAnsi="Times New Roman"/>
          <w:color w:val="000000"/>
          <w:spacing w:val="6"/>
          <w:szCs w:val="24"/>
        </w:rPr>
        <w:t xml:space="preserve">/2022 </w:t>
      </w:r>
      <w:r w:rsidR="0084753C">
        <w:rPr>
          <w:rFonts w:ascii="Times New Roman" w:hAnsi="Times New Roman"/>
          <w:color w:val="000000"/>
          <w:spacing w:val="6"/>
          <w:szCs w:val="24"/>
        </w:rPr>
        <w:t xml:space="preserve">tarihinde </w:t>
      </w:r>
      <w:r w:rsidR="0084753C" w:rsidRPr="00D66B7E">
        <w:rPr>
          <w:rFonts w:ascii="Times New Roman" w:hAnsi="Times New Roman"/>
          <w:szCs w:val="24"/>
        </w:rPr>
        <w:t xml:space="preserve">yapılacak </w:t>
      </w:r>
      <w:r w:rsidRPr="00D319E6">
        <w:rPr>
          <w:rFonts w:ascii="Times New Roman" w:hAnsi="Times New Roman"/>
          <w:szCs w:val="24"/>
        </w:rPr>
        <w:t>Proje Takip Sistemi Yazılım Geliştirme</w:t>
      </w:r>
      <w:r>
        <w:rPr>
          <w:rFonts w:ascii="Times New Roman" w:hAnsi="Times New Roman"/>
          <w:szCs w:val="24"/>
        </w:rPr>
        <w:t xml:space="preserve"> </w:t>
      </w:r>
      <w:r w:rsidRPr="00D319E6">
        <w:rPr>
          <w:rFonts w:ascii="Times New Roman" w:hAnsi="Times New Roman"/>
          <w:szCs w:val="24"/>
        </w:rPr>
        <w:t>Ve Uyarlama Projesi</w:t>
      </w:r>
      <w:r>
        <w:rPr>
          <w:rFonts w:ascii="Times New Roman" w:hAnsi="Times New Roman"/>
          <w:szCs w:val="24"/>
        </w:rPr>
        <w:t xml:space="preserve">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bookmarkStart w:id="0" w:name="_GoBack"/>
      <w:bookmarkEnd w:id="0"/>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84753C" w:rsidRDefault="0084753C" w:rsidP="0084753C">
      <w:pPr>
        <w:rPr>
          <w:spacing w:val="-2"/>
        </w:rPr>
      </w:pPr>
    </w:p>
    <w:p w:rsidR="00AD38FF" w:rsidRPr="00AD38FF" w:rsidRDefault="00AD38FF" w:rsidP="0084753C">
      <w:pPr>
        <w:rPr>
          <w:color w:val="BFBFBF" w:themeColor="background1" w:themeShade="BF"/>
          <w:spacing w:val="-2"/>
        </w:rPr>
      </w:pPr>
      <w:r w:rsidRPr="00AD38FF">
        <w:rPr>
          <w:color w:val="BFBFBF" w:themeColor="background1" w:themeShade="BF"/>
          <w:spacing w:val="-2"/>
        </w:rPr>
        <w:t>____________________________________________________________________________</w:t>
      </w:r>
    </w:p>
    <w:p w:rsidR="00AD38FF" w:rsidRDefault="00AD38FF" w:rsidP="0084753C">
      <w:pPr>
        <w:rPr>
          <w:spacing w:val="-2"/>
          <w:sz w:val="20"/>
        </w:rPr>
      </w:pPr>
      <w:r w:rsidRPr="00AD38FF">
        <w:rPr>
          <w:spacing w:val="-2"/>
          <w:sz w:val="20"/>
        </w:rPr>
        <w:t>Yukarıda</w:t>
      </w:r>
      <w:r>
        <w:rPr>
          <w:spacing w:val="-2"/>
          <w:sz w:val="20"/>
        </w:rPr>
        <w:t>ki</w:t>
      </w:r>
      <w:r w:rsidRPr="00AD38FF">
        <w:rPr>
          <w:spacing w:val="-2"/>
          <w:sz w:val="20"/>
        </w:rPr>
        <w:t xml:space="preserve"> formun doldurularak </w:t>
      </w:r>
      <w:hyperlink r:id="rId5" w:history="1">
        <w:r w:rsidR="00D66B7E" w:rsidRPr="00430BFC">
          <w:rPr>
            <w:rStyle w:val="Kpr"/>
            <w:spacing w:val="-2"/>
            <w:sz w:val="22"/>
            <w:szCs w:val="22"/>
          </w:rPr>
          <w:t>cennet.cepni@admelektrik.com.tr</w:t>
        </w:r>
      </w:hyperlink>
      <w:r w:rsidR="00CE0F97">
        <w:rPr>
          <w:spacing w:val="-2"/>
          <w:sz w:val="22"/>
          <w:szCs w:val="22"/>
        </w:rPr>
        <w:t xml:space="preserve"> </w:t>
      </w:r>
      <w:r w:rsidRPr="00AD38FF">
        <w:rPr>
          <w:spacing w:val="-2"/>
          <w:sz w:val="20"/>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lastRenderedPageBreak/>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7704B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1023C7"/>
    <w:rsid w:val="00163D08"/>
    <w:rsid w:val="00163DA9"/>
    <w:rsid w:val="001E4EAF"/>
    <w:rsid w:val="00521112"/>
    <w:rsid w:val="00562FF0"/>
    <w:rsid w:val="0074565B"/>
    <w:rsid w:val="007704B8"/>
    <w:rsid w:val="007770A5"/>
    <w:rsid w:val="00830DB4"/>
    <w:rsid w:val="0084753C"/>
    <w:rsid w:val="00AB2A4E"/>
    <w:rsid w:val="00AC5DEF"/>
    <w:rsid w:val="00AD38FF"/>
    <w:rsid w:val="00B56E2C"/>
    <w:rsid w:val="00BE4E05"/>
    <w:rsid w:val="00C64252"/>
    <w:rsid w:val="00CE0F97"/>
    <w:rsid w:val="00D319E6"/>
    <w:rsid w:val="00D66B7E"/>
    <w:rsid w:val="00E14166"/>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6FBD"/>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semiHidden/>
    <w:unhideWhenUsed/>
    <w:rsid w:val="0084753C"/>
    <w:pPr>
      <w:tabs>
        <w:tab w:val="center" w:pos="4536"/>
        <w:tab w:val="right" w:pos="9072"/>
      </w:tabs>
    </w:pPr>
  </w:style>
  <w:style w:type="character" w:customStyle="1" w:styleId="stBilgiChar0">
    <w:name w:val="Üst Bilgi Char"/>
    <w:basedOn w:val="VarsaylanParagrafYazTipi"/>
    <w:link w:val="stBilgi"/>
    <w:uiPriority w:val="99"/>
    <w:semiHidden/>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nnet.cepni@admelektrik.com.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431</Words>
  <Characters>2462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
  <dc:description/>
  <cp:lastModifiedBy>Cennet ÇEPNİ</cp:lastModifiedBy>
  <cp:revision>20</cp:revision>
  <cp:lastPrinted>2021-01-21T11:17:00Z</cp:lastPrinted>
  <dcterms:created xsi:type="dcterms:W3CDTF">2017-09-21T12:47:00Z</dcterms:created>
  <dcterms:modified xsi:type="dcterms:W3CDTF">2022-07-26T07:41:00Z</dcterms:modified>
</cp:coreProperties>
</file>